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D9" w:rsidRDefault="00E63F2E">
      <w:r>
        <w:t>I</w:t>
      </w:r>
      <w:r w:rsidR="00D62ED9">
        <w:t xml:space="preserve">l pagamento delle quote mensa e scuolabus per </w:t>
      </w:r>
      <w:proofErr w:type="spellStart"/>
      <w:r w:rsidR="00D62ED9">
        <w:t>l’a.s.</w:t>
      </w:r>
      <w:proofErr w:type="spellEnd"/>
      <w:r w:rsidR="00D62ED9">
        <w:t xml:space="preserve"> 2018/2019 deve essere eseguito entro il 15 </w:t>
      </w:r>
      <w:proofErr w:type="gramStart"/>
      <w:r w:rsidR="00D62ED9">
        <w:t>del  mese</w:t>
      </w:r>
      <w:proofErr w:type="gramEnd"/>
      <w:r w:rsidR="00D62ED9">
        <w:t xml:space="preserve"> successivo in base alle tariffe  in vigore</w:t>
      </w:r>
      <w:r>
        <w:t xml:space="preserve">  (</w:t>
      </w:r>
      <w:proofErr w:type="spellStart"/>
      <w:r>
        <w:t>delib.GC</w:t>
      </w:r>
      <w:proofErr w:type="spellEnd"/>
      <w:r>
        <w:t xml:space="preserve"> n..10/2018)</w:t>
      </w:r>
      <w:r w:rsidR="00D62ED9">
        <w:t>:</w:t>
      </w:r>
    </w:p>
    <w:p w:rsidR="00D62ED9" w:rsidRPr="00D62ED9" w:rsidRDefault="00D62ED9" w:rsidP="00E63F2E">
      <w:pPr>
        <w:tabs>
          <w:tab w:val="left" w:pos="360"/>
        </w:tabs>
        <w:spacing w:after="0" w:line="235" w:lineRule="auto"/>
        <w:jc w:val="both"/>
        <w:rPr>
          <w:rFonts w:ascii="Garamond" w:eastAsiaTheme="minorEastAsia" w:hAnsi="Garamond" w:cs="Arial"/>
          <w:lang w:eastAsia="it-IT"/>
        </w:rPr>
      </w:pPr>
      <w:r>
        <w:t xml:space="preserve"> </w:t>
      </w:r>
    </w:p>
    <w:p w:rsidR="00D62ED9" w:rsidRPr="00D62ED9" w:rsidRDefault="00D62ED9" w:rsidP="00D62ED9">
      <w:pPr>
        <w:tabs>
          <w:tab w:val="left" w:pos="360"/>
        </w:tabs>
        <w:spacing w:after="0" w:line="235" w:lineRule="auto"/>
        <w:jc w:val="center"/>
        <w:rPr>
          <w:rFonts w:ascii="Garamond" w:eastAsiaTheme="minorEastAsia" w:hAnsi="Garamond" w:cs="Arial"/>
          <w:b/>
          <w:sz w:val="26"/>
          <w:szCs w:val="26"/>
          <w:lang w:eastAsia="it-IT"/>
        </w:rPr>
      </w:pPr>
      <w:r w:rsidRPr="00D62ED9">
        <w:rPr>
          <w:rFonts w:ascii="Garamond" w:eastAsiaTheme="minorEastAsia" w:hAnsi="Garamond" w:cs="Arial"/>
          <w:b/>
          <w:sz w:val="26"/>
          <w:szCs w:val="26"/>
          <w:lang w:eastAsia="it-IT"/>
        </w:rPr>
        <w:t>TARIFFE ANNO SCOLASTICO 2018/2019</w:t>
      </w:r>
    </w:p>
    <w:tbl>
      <w:tblPr>
        <w:tblStyle w:val="rtf1NormalTable"/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2410"/>
        <w:gridCol w:w="283"/>
        <w:gridCol w:w="2552"/>
      </w:tblGrid>
      <w:tr w:rsidR="00D62ED9" w:rsidRPr="00D62ED9" w:rsidTr="00DB1B94">
        <w:trPr>
          <w:trHeight w:val="841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FASCE DI REDDITO ISEE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D62ED9" w:rsidRPr="00D62ED9" w:rsidRDefault="00D62ED9" w:rsidP="00D62ED9">
            <w:pPr>
              <w:spacing w:after="0" w:line="276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MENSA SCUOLA MATERNA</w:t>
            </w:r>
          </w:p>
          <w:p w:rsidR="00D62ED9" w:rsidRPr="00D62ED9" w:rsidRDefault="00D62ED9" w:rsidP="00D62ED9">
            <w:pPr>
              <w:spacing w:after="0" w:line="276" w:lineRule="auto"/>
              <w:ind w:left="43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sz w:val="26"/>
                <w:szCs w:val="26"/>
              </w:rPr>
              <w:t>( a</w:t>
            </w:r>
            <w:proofErr w:type="gramEnd"/>
            <w:r w:rsidRPr="00D62ED9">
              <w:rPr>
                <w:rFonts w:ascii="Garamond" w:hAnsi="Garamond" w:cs="Arial"/>
                <w:b/>
                <w:sz w:val="26"/>
                <w:szCs w:val="26"/>
              </w:rPr>
              <w:t xml:space="preserve"> Pasto)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D62ED9" w:rsidRPr="00D62ED9" w:rsidRDefault="00D62ED9" w:rsidP="00D62ED9">
            <w:pPr>
              <w:spacing w:after="0" w:line="276" w:lineRule="auto"/>
              <w:ind w:left="43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 xml:space="preserve">SCUOLABUS </w:t>
            </w:r>
          </w:p>
          <w:p w:rsidR="00D62ED9" w:rsidRPr="00D62ED9" w:rsidRDefault="00D62ED9" w:rsidP="00D62E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Tariffe Mensili</w:t>
            </w:r>
          </w:p>
        </w:tc>
      </w:tr>
      <w:tr w:rsidR="00D62ED9" w:rsidRPr="00D62ED9" w:rsidTr="00DB1B94">
        <w:trPr>
          <w:trHeight w:val="137"/>
        </w:trPr>
        <w:tc>
          <w:tcPr>
            <w:tcW w:w="3119" w:type="dxa"/>
            <w:tcBorders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da</w:t>
            </w:r>
            <w:proofErr w:type="gramEnd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 xml:space="preserve"> €         0,00 a € 4.000,00</w:t>
            </w:r>
          </w:p>
        </w:tc>
        <w:tc>
          <w:tcPr>
            <w:tcW w:w="425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552" w:type="dxa"/>
            <w:tcBorders>
              <w:lef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3,00</w:t>
            </w:r>
          </w:p>
        </w:tc>
      </w:tr>
      <w:tr w:rsidR="00D62ED9" w:rsidRPr="00D62ED9" w:rsidTr="00DB1B94">
        <w:tc>
          <w:tcPr>
            <w:tcW w:w="3119" w:type="dxa"/>
            <w:tcBorders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da</w:t>
            </w:r>
            <w:proofErr w:type="gramEnd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 xml:space="preserve"> €   4.000,01 a € 7.000,00</w:t>
            </w:r>
          </w:p>
        </w:tc>
        <w:tc>
          <w:tcPr>
            <w:tcW w:w="425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1,50</w:t>
            </w: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552" w:type="dxa"/>
            <w:tcBorders>
              <w:left w:val="nil"/>
            </w:tcBorders>
            <w:hideMark/>
          </w:tcPr>
          <w:p w:rsidR="00D62ED9" w:rsidRPr="00D62ED9" w:rsidRDefault="00D62ED9" w:rsidP="00D62ED9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5,00</w:t>
            </w:r>
          </w:p>
        </w:tc>
      </w:tr>
      <w:tr w:rsidR="00D62ED9" w:rsidRPr="00D62ED9" w:rsidTr="00DB1B94">
        <w:tc>
          <w:tcPr>
            <w:tcW w:w="3119" w:type="dxa"/>
            <w:tcBorders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da</w:t>
            </w:r>
            <w:proofErr w:type="gramEnd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 xml:space="preserve"> €   7.000,01 a € 9.000,00</w:t>
            </w:r>
          </w:p>
        </w:tc>
        <w:tc>
          <w:tcPr>
            <w:tcW w:w="425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€</w:t>
            </w:r>
          </w:p>
        </w:tc>
        <w:tc>
          <w:tcPr>
            <w:tcW w:w="2552" w:type="dxa"/>
            <w:tcBorders>
              <w:left w:val="nil"/>
            </w:tcBorders>
            <w:hideMark/>
          </w:tcPr>
          <w:p w:rsidR="00D62ED9" w:rsidRPr="00D62ED9" w:rsidRDefault="00D62ED9" w:rsidP="00D62ED9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7,00</w:t>
            </w:r>
          </w:p>
        </w:tc>
      </w:tr>
      <w:tr w:rsidR="00D62ED9" w:rsidRPr="00D62ED9" w:rsidTr="00DB1B94">
        <w:tc>
          <w:tcPr>
            <w:tcW w:w="3119" w:type="dxa"/>
            <w:tcBorders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da</w:t>
            </w:r>
            <w:proofErr w:type="gramEnd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 xml:space="preserve"> €   9.000,01a € 11.000,00</w:t>
            </w:r>
          </w:p>
        </w:tc>
        <w:tc>
          <w:tcPr>
            <w:tcW w:w="425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€</w:t>
            </w:r>
          </w:p>
        </w:tc>
        <w:tc>
          <w:tcPr>
            <w:tcW w:w="2552" w:type="dxa"/>
            <w:tcBorders>
              <w:left w:val="nil"/>
            </w:tcBorders>
            <w:hideMark/>
          </w:tcPr>
          <w:p w:rsidR="00D62ED9" w:rsidRPr="00D62ED9" w:rsidRDefault="00D62ED9" w:rsidP="00D62ED9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sz w:val="26"/>
                <w:szCs w:val="26"/>
              </w:rPr>
              <w:t>10,00</w:t>
            </w:r>
          </w:p>
        </w:tc>
      </w:tr>
      <w:tr w:rsidR="00D62ED9" w:rsidRPr="00D62ED9" w:rsidTr="00DB1B94">
        <w:tc>
          <w:tcPr>
            <w:tcW w:w="3119" w:type="dxa"/>
            <w:tcBorders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da</w:t>
            </w:r>
            <w:proofErr w:type="gramEnd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 xml:space="preserve"> € 11.000,01a € 13.000,00</w:t>
            </w:r>
          </w:p>
        </w:tc>
        <w:tc>
          <w:tcPr>
            <w:tcW w:w="425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3,50</w:t>
            </w: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552" w:type="dxa"/>
            <w:tcBorders>
              <w:lef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12,00</w:t>
            </w:r>
          </w:p>
        </w:tc>
      </w:tr>
      <w:tr w:rsidR="00D62ED9" w:rsidRPr="00D62ED9" w:rsidTr="00DB1B94">
        <w:tc>
          <w:tcPr>
            <w:tcW w:w="3119" w:type="dxa"/>
            <w:tcBorders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gramStart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Oltre  €</w:t>
            </w:r>
            <w:proofErr w:type="gramEnd"/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 xml:space="preserve"> 13.000,01</w:t>
            </w:r>
          </w:p>
        </w:tc>
        <w:tc>
          <w:tcPr>
            <w:tcW w:w="425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552" w:type="dxa"/>
            <w:tcBorders>
              <w:left w:val="nil"/>
            </w:tcBorders>
            <w:hideMark/>
          </w:tcPr>
          <w:p w:rsidR="00D62ED9" w:rsidRPr="00D62ED9" w:rsidRDefault="00D62ED9" w:rsidP="00D62E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D62ED9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15,00</w:t>
            </w:r>
          </w:p>
        </w:tc>
      </w:tr>
    </w:tbl>
    <w:p w:rsidR="00D62ED9" w:rsidRPr="00D62ED9" w:rsidRDefault="00D62ED9" w:rsidP="00D62ED9">
      <w:pPr>
        <w:tabs>
          <w:tab w:val="left" w:pos="360"/>
        </w:tabs>
        <w:spacing w:after="0" w:line="235" w:lineRule="auto"/>
        <w:jc w:val="both"/>
        <w:rPr>
          <w:rFonts w:ascii="Garamond" w:eastAsiaTheme="minorEastAsia" w:hAnsi="Garamond" w:cs="Arial"/>
          <w:sz w:val="26"/>
          <w:szCs w:val="26"/>
          <w:lang w:eastAsia="it-IT"/>
        </w:rPr>
      </w:pPr>
    </w:p>
    <w:p w:rsidR="00C15442" w:rsidRDefault="002E6BAA">
      <w:r>
        <w:t xml:space="preserve"> </w:t>
      </w:r>
    </w:p>
    <w:p w:rsidR="002E6BAA" w:rsidRDefault="002E6BAA">
      <w:r>
        <w:t xml:space="preserve">                                                                                                                           Il </w:t>
      </w:r>
      <w:proofErr w:type="spellStart"/>
      <w:r>
        <w:t>Resp.le</w:t>
      </w:r>
      <w:proofErr w:type="spellEnd"/>
      <w:r>
        <w:t xml:space="preserve"> del Servizio</w:t>
      </w:r>
    </w:p>
    <w:p w:rsidR="002E6BAA" w:rsidRDefault="002E6BAA">
      <w:r>
        <w:t xml:space="preserve">                                                                                                                                   </w:t>
      </w:r>
      <w:proofErr w:type="spellStart"/>
      <w:r>
        <w:t>Dr.P</w:t>
      </w:r>
      <w:proofErr w:type="spellEnd"/>
      <w:r>
        <w:t xml:space="preserve">. </w:t>
      </w:r>
      <w:bookmarkStart w:id="0" w:name="_GoBack"/>
      <w:bookmarkEnd w:id="0"/>
      <w:r>
        <w:t>Tamponi</w:t>
      </w:r>
    </w:p>
    <w:sectPr w:rsidR="002E6BAA" w:rsidSect="00C37230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952"/>
    <w:multiLevelType w:val="hybridMultilevel"/>
    <w:tmpl w:val="AC1E8984"/>
    <w:lvl w:ilvl="0" w:tplc="FDB23688">
      <w:start w:val="1"/>
      <w:numFmt w:val="decimal"/>
      <w:lvlText w:val="%1)"/>
      <w:lvlJc w:val="left"/>
      <w:rPr>
        <w:rFonts w:cs="Times New Roman"/>
      </w:rPr>
    </w:lvl>
    <w:lvl w:ilvl="1" w:tplc="66A05F48">
      <w:start w:val="1"/>
      <w:numFmt w:val="bullet"/>
      <w:lvlText w:val="-"/>
      <w:lvlJc w:val="left"/>
    </w:lvl>
    <w:lvl w:ilvl="2" w:tplc="D2C8D99E">
      <w:numFmt w:val="decimal"/>
      <w:lvlText w:val=""/>
      <w:lvlJc w:val="left"/>
      <w:rPr>
        <w:rFonts w:cs="Times New Roman"/>
      </w:rPr>
    </w:lvl>
    <w:lvl w:ilvl="3" w:tplc="40DEE36C">
      <w:numFmt w:val="decimal"/>
      <w:lvlText w:val=""/>
      <w:lvlJc w:val="left"/>
      <w:rPr>
        <w:rFonts w:cs="Times New Roman"/>
      </w:rPr>
    </w:lvl>
    <w:lvl w:ilvl="4" w:tplc="4B905C32">
      <w:numFmt w:val="decimal"/>
      <w:lvlText w:val=""/>
      <w:lvlJc w:val="left"/>
      <w:rPr>
        <w:rFonts w:cs="Times New Roman"/>
      </w:rPr>
    </w:lvl>
    <w:lvl w:ilvl="5" w:tplc="63D8ADCC">
      <w:numFmt w:val="decimal"/>
      <w:lvlText w:val=""/>
      <w:lvlJc w:val="left"/>
      <w:rPr>
        <w:rFonts w:cs="Times New Roman"/>
      </w:rPr>
    </w:lvl>
    <w:lvl w:ilvl="6" w:tplc="1C98762C">
      <w:numFmt w:val="decimal"/>
      <w:lvlText w:val=""/>
      <w:lvlJc w:val="left"/>
      <w:rPr>
        <w:rFonts w:cs="Times New Roman"/>
      </w:rPr>
    </w:lvl>
    <w:lvl w:ilvl="7" w:tplc="DB421738">
      <w:numFmt w:val="decimal"/>
      <w:lvlText w:val=""/>
      <w:lvlJc w:val="left"/>
      <w:rPr>
        <w:rFonts w:cs="Times New Roman"/>
      </w:rPr>
    </w:lvl>
    <w:lvl w:ilvl="8" w:tplc="2B2EE5B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9"/>
    <w:rsid w:val="002E6BAA"/>
    <w:rsid w:val="00C15442"/>
    <w:rsid w:val="00C37230"/>
    <w:rsid w:val="00D62ED9"/>
    <w:rsid w:val="00E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9092-FBE9-4118-83E2-71D1BCC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D62ED9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Pasqualino Tamponi</dc:creator>
  <cp:keywords/>
  <dc:description/>
  <cp:lastModifiedBy>Pasqualino Tamponi</cp:lastModifiedBy>
  <cp:revision>3</cp:revision>
  <dcterms:created xsi:type="dcterms:W3CDTF">2019-03-12T14:46:00Z</dcterms:created>
  <dcterms:modified xsi:type="dcterms:W3CDTF">2019-03-12T15:21:00Z</dcterms:modified>
</cp:coreProperties>
</file>